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u w:val="single"/>
        </w:rPr>
        <w:t xml:space="preserve">泰州市城市管理局 </w:t>
      </w:r>
      <w:r>
        <w:rPr>
          <w:rFonts w:hint="eastAsia" w:ascii="方正小标宋_GBK" w:hAnsi="方正小标宋_GBK" w:eastAsia="方正小标宋_GBK" w:cs="方正小标宋_GBK"/>
          <w:sz w:val="44"/>
          <w:szCs w:val="44"/>
        </w:rPr>
        <w:t>涉企行政检查清单</w:t>
      </w:r>
    </w:p>
    <w:tbl>
      <w:tblPr>
        <w:tblStyle w:val="5"/>
        <w:tblW w:w="15560" w:type="dxa"/>
        <w:jc w:val="center"/>
        <w:tblLayout w:type="autofit"/>
        <w:tblCellMar>
          <w:top w:w="0" w:type="dxa"/>
          <w:left w:w="108" w:type="dxa"/>
          <w:bottom w:w="0" w:type="dxa"/>
          <w:right w:w="108" w:type="dxa"/>
        </w:tblCellMar>
      </w:tblPr>
      <w:tblGrid>
        <w:gridCol w:w="517"/>
        <w:gridCol w:w="1135"/>
        <w:gridCol w:w="1134"/>
        <w:gridCol w:w="6237"/>
        <w:gridCol w:w="1417"/>
        <w:gridCol w:w="1276"/>
        <w:gridCol w:w="3844"/>
      </w:tblGrid>
      <w:tr>
        <w:tblPrEx>
          <w:tblCellMar>
            <w:top w:w="0" w:type="dxa"/>
            <w:left w:w="108" w:type="dxa"/>
            <w:bottom w:w="0" w:type="dxa"/>
            <w:right w:w="108" w:type="dxa"/>
          </w:tblCellMar>
        </w:tblPrEx>
        <w:trPr>
          <w:trHeight w:val="501" w:hRule="atLeast"/>
          <w:jc w:val="center"/>
        </w:trPr>
        <w:tc>
          <w:tcPr>
            <w:tcW w:w="517" w:type="dxa"/>
            <w:tcBorders>
              <w:top w:val="single" w:color="auto" w:sz="4" w:space="0"/>
              <w:left w:val="single" w:color="auto" w:sz="4" w:space="0"/>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序号</w:t>
            </w:r>
          </w:p>
        </w:tc>
        <w:tc>
          <w:tcPr>
            <w:tcW w:w="1135" w:type="dxa"/>
            <w:tcBorders>
              <w:top w:val="single" w:color="auto" w:sz="4" w:space="0"/>
              <w:left w:val="nil"/>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实施主体</w:t>
            </w:r>
          </w:p>
        </w:tc>
        <w:tc>
          <w:tcPr>
            <w:tcW w:w="1134" w:type="dxa"/>
            <w:tcBorders>
              <w:top w:val="single" w:color="auto" w:sz="4" w:space="0"/>
              <w:left w:val="nil"/>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检查事项</w:t>
            </w:r>
          </w:p>
        </w:tc>
        <w:tc>
          <w:tcPr>
            <w:tcW w:w="6237" w:type="dxa"/>
            <w:tcBorders>
              <w:top w:val="single" w:color="auto" w:sz="4" w:space="0"/>
              <w:left w:val="nil"/>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检查依据</w:t>
            </w:r>
          </w:p>
        </w:tc>
        <w:tc>
          <w:tcPr>
            <w:tcW w:w="1417" w:type="dxa"/>
            <w:tcBorders>
              <w:top w:val="single" w:color="auto" w:sz="4" w:space="0"/>
              <w:left w:val="nil"/>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内容与方式</w:t>
            </w:r>
          </w:p>
        </w:tc>
        <w:tc>
          <w:tcPr>
            <w:tcW w:w="1276" w:type="dxa"/>
            <w:tcBorders>
              <w:top w:val="single" w:color="auto" w:sz="4" w:space="0"/>
              <w:left w:val="nil"/>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检查项目</w:t>
            </w:r>
          </w:p>
        </w:tc>
        <w:tc>
          <w:tcPr>
            <w:tcW w:w="3844" w:type="dxa"/>
            <w:tcBorders>
              <w:top w:val="single" w:color="auto" w:sz="4" w:space="0"/>
              <w:left w:val="nil"/>
              <w:bottom w:val="single" w:color="auto" w:sz="4" w:space="0"/>
              <w:right w:val="single" w:color="auto" w:sz="4" w:space="0"/>
            </w:tcBorders>
            <w:noWrap/>
            <w:vAlign w:val="center"/>
          </w:tcPr>
          <w:p>
            <w:pPr>
              <w:rPr>
                <w:rFonts w:ascii="黑体" w:hAnsi="黑体" w:eastAsia="黑体" w:cs="Times New Roman"/>
                <w:kern w:val="0"/>
                <w:sz w:val="21"/>
                <w:szCs w:val="21"/>
              </w:rPr>
            </w:pPr>
            <w:r>
              <w:rPr>
                <w:rFonts w:hint="eastAsia" w:ascii="黑体" w:hAnsi="黑体" w:eastAsia="黑体" w:cs="Times New Roman"/>
                <w:kern w:val="0"/>
                <w:sz w:val="21"/>
                <w:szCs w:val="21"/>
              </w:rPr>
              <w:t>合规标准</w:t>
            </w:r>
          </w:p>
        </w:tc>
      </w:tr>
      <w:tr>
        <w:tblPrEx>
          <w:tblCellMar>
            <w:top w:w="0" w:type="dxa"/>
            <w:left w:w="108" w:type="dxa"/>
            <w:bottom w:w="0" w:type="dxa"/>
            <w:right w:w="108" w:type="dxa"/>
          </w:tblCellMar>
        </w:tblPrEx>
        <w:trPr>
          <w:trHeight w:val="3662" w:hRule="atLeast"/>
          <w:jc w:val="center"/>
        </w:trPr>
        <w:tc>
          <w:tcPr>
            <w:tcW w:w="517" w:type="dxa"/>
            <w:vMerge w:val="restart"/>
            <w:tcBorders>
              <w:top w:val="nil"/>
              <w:left w:val="single" w:color="auto" w:sz="4" w:space="0"/>
              <w:right w:val="single" w:color="auto" w:sz="4" w:space="0"/>
            </w:tcBorders>
            <w:noWrap/>
            <w:vAlign w:val="center"/>
          </w:tcPr>
          <w:p>
            <w:pPr>
              <w:spacing w:line="260" w:lineRule="exac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1</w:t>
            </w:r>
          </w:p>
        </w:tc>
        <w:tc>
          <w:tcPr>
            <w:tcW w:w="1135" w:type="dxa"/>
            <w:vMerge w:val="restart"/>
            <w:tcBorders>
              <w:top w:val="nil"/>
              <w:left w:val="nil"/>
              <w:right w:val="single" w:color="auto" w:sz="4" w:space="0"/>
            </w:tcBorders>
            <w:noWrap/>
            <w:vAlign w:val="center"/>
          </w:tcPr>
          <w:p>
            <w:pPr>
              <w:spacing w:line="260" w:lineRule="exac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市城管局</w:t>
            </w:r>
          </w:p>
        </w:tc>
        <w:tc>
          <w:tcPr>
            <w:tcW w:w="1134" w:type="dxa"/>
            <w:vMerge w:val="restart"/>
            <w:tcBorders>
              <w:top w:val="nil"/>
              <w:left w:val="nil"/>
              <w:right w:val="single" w:color="auto" w:sz="4" w:space="0"/>
            </w:tcBorders>
            <w:noWrap/>
            <w:vAlign w:val="center"/>
          </w:tcPr>
          <w:p>
            <w:pPr>
              <w:spacing w:line="260" w:lineRule="exact"/>
              <w:rPr>
                <w:rFonts w:hint="eastAsia" w:ascii="方正仿宋_GBK" w:eastAsia="方正仿宋_GBK" w:cs="Times New Roman"/>
                <w:kern w:val="0"/>
                <w:sz w:val="21"/>
                <w:szCs w:val="21"/>
              </w:rPr>
            </w:pPr>
            <w:r>
              <w:rPr>
                <w:rFonts w:hint="eastAsia" w:ascii="Times New Roman" w:hAnsi="Times New Roman" w:eastAsia="方正仿宋_GBK" w:cs="Times New Roman"/>
                <w:snapToGrid w:val="0"/>
                <w:sz w:val="21"/>
                <w:szCs w:val="21"/>
              </w:rPr>
              <w:t>城市生活垃圾经营性清扫、收集、运输、处置工作检查</w:t>
            </w:r>
          </w:p>
        </w:tc>
        <w:tc>
          <w:tcPr>
            <w:tcW w:w="6237" w:type="dxa"/>
            <w:vMerge w:val="restart"/>
            <w:tcBorders>
              <w:top w:val="nil"/>
              <w:left w:val="nil"/>
              <w:right w:val="single" w:color="auto" w:sz="4" w:space="0"/>
            </w:tcBorders>
            <w:noWrap/>
            <w:vAlign w:val="center"/>
          </w:tcPr>
          <w:p>
            <w:pPr>
              <w:spacing w:line="260" w:lineRule="exact"/>
              <w:jc w:val="both"/>
              <w:rPr>
                <w:rFonts w:hint="eastAsia" w:ascii="方正仿宋_GBK" w:eastAsia="方正仿宋_GBK" w:cs="Times New Roman"/>
                <w:b/>
                <w:kern w:val="0"/>
                <w:sz w:val="21"/>
                <w:szCs w:val="21"/>
              </w:rPr>
            </w:pPr>
            <w:r>
              <w:rPr>
                <w:rFonts w:hint="eastAsia" w:ascii="方正仿宋_GBK" w:eastAsia="方正仿宋_GBK" w:cs="Times New Roman"/>
                <w:b/>
                <w:kern w:val="0"/>
                <w:sz w:val="21"/>
                <w:szCs w:val="21"/>
              </w:rPr>
              <w:t>【法律】《中华人民共和国固体废物污染环境防治法》</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 xml:space="preserve">第二十六条 </w:t>
            </w:r>
            <w:r>
              <w:rPr>
                <w:rFonts w:ascii="方正仿宋_GBK" w:eastAsia="方正仿宋_GBK" w:cs="Times New Roman"/>
                <w:kern w:val="0"/>
                <w:sz w:val="21"/>
                <w:szCs w:val="21"/>
              </w:rPr>
              <w:t> </w:t>
            </w:r>
            <w:r>
              <w:rPr>
                <w:rFonts w:hint="eastAsia" w:ascii="方正仿宋_GBK" w:eastAsia="方正仿宋_GBK" w:cs="Times New Roman"/>
                <w:kern w:val="0"/>
                <w:sz w:val="21"/>
                <w:szCs w:val="21"/>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ascii="方正仿宋_GBK" w:eastAsia="方正仿宋_GBK" w:cs="Times New Roman"/>
                <w:kern w:val="0"/>
                <w:sz w:val="21"/>
                <w:szCs w:val="21"/>
              </w:rPr>
              <w:t> </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实施现场检查，可以采取现场监测、采集样品、查阅或者复制与固体废物污染环境防治相关的资料等措施。检查人员进行现场检查，应当出示证件。对现场检查中知悉的商业秘密应当保密。</w:t>
            </w:r>
          </w:p>
          <w:p>
            <w:pPr>
              <w:spacing w:line="260" w:lineRule="exact"/>
              <w:jc w:val="both"/>
              <w:rPr>
                <w:rFonts w:hint="eastAsia" w:ascii="方正仿宋_GBK" w:eastAsia="方正仿宋_GBK" w:cs="Times New Roman"/>
                <w:b/>
                <w:kern w:val="0"/>
                <w:sz w:val="21"/>
                <w:szCs w:val="21"/>
              </w:rPr>
            </w:pPr>
            <w:r>
              <w:rPr>
                <w:rFonts w:hint="eastAsia" w:ascii="方正仿宋_GBK" w:eastAsia="方正仿宋_GBK" w:cs="Times New Roman"/>
                <w:b/>
                <w:kern w:val="0"/>
                <w:sz w:val="21"/>
                <w:szCs w:val="21"/>
              </w:rPr>
              <w:t>【规章】《城市生活垃圾管理办法》</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第二十九条　 国务院建设主管部门和省、自治区人民政府建设主管部门应当建立健全监督管理制度，对本办法的执行情况进行监督检查。</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第三十条　直辖市、市、县人民政府建设（环境卫生）主管部门实施监督检查时，有权采取下列措施：</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（一）查阅复制有关文件和资料；</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（二）要求被检查的单位和个人就有关问题做出说明；</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（三）进入现场开展检查；</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（四）责令有关单位和个人改正违法行为。</w:t>
            </w:r>
          </w:p>
          <w:p>
            <w:pPr>
              <w:spacing w:line="260" w:lineRule="exact"/>
              <w:ind w:firstLine="420" w:firstLineChars="200"/>
              <w:jc w:val="both"/>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有关单位和个人应当支持配合监督检查并提供工作方便，不得妨碍与阻挠监督检查人员依法执行职务。</w:t>
            </w:r>
          </w:p>
        </w:tc>
        <w:tc>
          <w:tcPr>
            <w:tcW w:w="1417" w:type="dxa"/>
            <w:vMerge w:val="restart"/>
            <w:tcBorders>
              <w:top w:val="nil"/>
              <w:left w:val="nil"/>
              <w:right w:val="single" w:color="auto" w:sz="4" w:space="0"/>
            </w:tcBorders>
            <w:noWrap/>
            <w:vAlign w:val="center"/>
          </w:tcPr>
          <w:p>
            <w:pPr>
              <w:spacing w:line="260" w:lineRule="exac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根据《中华人民共和国固体废物污染环境防治法》《城市生活垃圾管理办法》等规定，对从事城市生活垃圾经营性清扫、收集、运输企业进行现场检查</w:t>
            </w:r>
          </w:p>
        </w:tc>
        <w:tc>
          <w:tcPr>
            <w:tcW w:w="1276" w:type="dxa"/>
            <w:vMerge w:val="restart"/>
            <w:tcBorders>
              <w:top w:val="nil"/>
              <w:left w:val="nil"/>
              <w:right w:val="single" w:color="auto" w:sz="4" w:space="0"/>
            </w:tcBorders>
            <w:noWrap/>
            <w:vAlign w:val="center"/>
          </w:tcPr>
          <w:p>
            <w:pPr>
              <w:spacing w:line="260" w:lineRule="exac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对城市生活垃圾经营性清扫、收集、运输工作的行政检查</w:t>
            </w:r>
          </w:p>
        </w:tc>
        <w:tc>
          <w:tcPr>
            <w:tcW w:w="3844" w:type="dxa"/>
            <w:tcBorders>
              <w:top w:val="nil"/>
              <w:left w:val="nil"/>
              <w:bottom w:val="single" w:color="auto" w:sz="4" w:space="0"/>
              <w:right w:val="single" w:color="auto" w:sz="4" w:space="0"/>
            </w:tcBorders>
            <w:noWrap/>
            <w:vAlign w:val="center"/>
          </w:tcPr>
          <w:p>
            <w:pPr>
              <w:spacing w:line="260" w:lineRule="exact"/>
              <w:jc w:val="lef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生活垃圾经营性清扫、收集、运输企业：</w:t>
            </w:r>
          </w:p>
          <w:p>
            <w:pPr>
              <w:spacing w:line="260" w:lineRule="exact"/>
              <w:jc w:val="lef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1.从事城市生活垃圾经营性清扫、收集、运输业务的，应当取得城管部门的许可。</w:t>
            </w:r>
          </w:p>
          <w:p>
            <w:pPr>
              <w:spacing w:line="260" w:lineRule="exact"/>
              <w:jc w:val="lef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2.应当按照标准和作业规范在规定时间内及时清扫、收运城市生活垃圾。</w:t>
            </w:r>
          </w:p>
          <w:p>
            <w:pPr>
              <w:spacing w:line="260" w:lineRule="exact"/>
              <w:jc w:val="left"/>
              <w:rPr>
                <w:rFonts w:ascii="方正仿宋_GBK" w:eastAsia="方正仿宋_GBK" w:cs="Times New Roman"/>
                <w:kern w:val="0"/>
                <w:sz w:val="21"/>
                <w:szCs w:val="21"/>
              </w:rPr>
            </w:pPr>
            <w:r>
              <w:rPr>
                <w:rFonts w:hint="eastAsia" w:ascii="方正仿宋_GBK" w:eastAsia="方正仿宋_GBK" w:cs="Times New Roman"/>
                <w:kern w:val="0"/>
                <w:sz w:val="21"/>
                <w:szCs w:val="21"/>
              </w:rPr>
              <w:t>3.在从事城市生活垃圾经营性清扫、收集、运输服务过程中，不得任意倾倒、抛洒或者堆放生活垃圾；在运输过程中不得沿途丢弃、遗撒生活垃圾。</w:t>
            </w:r>
          </w:p>
          <w:p>
            <w:pPr>
              <w:spacing w:line="260" w:lineRule="exact"/>
              <w:jc w:val="left"/>
              <w:rPr>
                <w:rFonts w:ascii="方正仿宋_GBK" w:eastAsia="方正仿宋_GBK" w:cs="Times New Roman"/>
                <w:kern w:val="0"/>
                <w:sz w:val="21"/>
                <w:szCs w:val="21"/>
              </w:rPr>
            </w:pPr>
            <w:r>
              <w:rPr>
                <w:rFonts w:hint="eastAsia" w:ascii="方正仿宋_GBK" w:eastAsia="方正仿宋_GBK" w:cs="Times New Roman"/>
                <w:kern w:val="0"/>
                <w:sz w:val="21"/>
                <w:szCs w:val="21"/>
              </w:rPr>
              <w:t>4.需要停业歇业的，应当提前半年向所在地城管部门报告并经同意后方可停业歇业。</w:t>
            </w:r>
          </w:p>
          <w:p>
            <w:pPr>
              <w:spacing w:line="260" w:lineRule="exact"/>
              <w:jc w:val="lef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5.从事城市生活垃圾经营性清扫、收集、运输业务过程中，严格遵守垃圾分类规定。</w:t>
            </w:r>
          </w:p>
        </w:tc>
      </w:tr>
      <w:tr>
        <w:tblPrEx>
          <w:tblCellMar>
            <w:top w:w="0" w:type="dxa"/>
            <w:left w:w="108" w:type="dxa"/>
            <w:bottom w:w="0" w:type="dxa"/>
            <w:right w:w="108" w:type="dxa"/>
          </w:tblCellMar>
        </w:tblPrEx>
        <w:trPr>
          <w:trHeight w:val="1127" w:hRule="atLeast"/>
          <w:jc w:val="center"/>
        </w:trPr>
        <w:tc>
          <w:tcPr>
            <w:tcW w:w="517" w:type="dxa"/>
            <w:vMerge w:val="continue"/>
            <w:tcBorders>
              <w:left w:val="single" w:color="auto" w:sz="4" w:space="0"/>
              <w:bottom w:val="single" w:color="auto" w:sz="4" w:space="0"/>
              <w:right w:val="single" w:color="auto" w:sz="4" w:space="0"/>
            </w:tcBorders>
            <w:noWrap/>
            <w:vAlign w:val="center"/>
          </w:tcPr>
          <w:p>
            <w:pPr>
              <w:spacing w:line="260" w:lineRule="exact"/>
              <w:rPr>
                <w:rFonts w:hint="eastAsia" w:ascii="方正仿宋_GBK" w:eastAsia="方正仿宋_GBK" w:cs="Times New Roman"/>
                <w:kern w:val="0"/>
                <w:sz w:val="21"/>
                <w:szCs w:val="21"/>
              </w:rPr>
            </w:pPr>
          </w:p>
        </w:tc>
        <w:tc>
          <w:tcPr>
            <w:tcW w:w="1135" w:type="dxa"/>
            <w:vMerge w:val="continue"/>
            <w:tcBorders>
              <w:left w:val="nil"/>
              <w:bottom w:val="single" w:color="auto" w:sz="4" w:space="0"/>
              <w:right w:val="single" w:color="auto" w:sz="4" w:space="0"/>
            </w:tcBorders>
            <w:noWrap/>
            <w:vAlign w:val="center"/>
          </w:tcPr>
          <w:p>
            <w:pPr>
              <w:spacing w:line="260" w:lineRule="exact"/>
              <w:rPr>
                <w:rFonts w:hint="eastAsia" w:ascii="方正仿宋_GBK" w:eastAsia="方正仿宋_GBK" w:cs="Times New Roman"/>
                <w:kern w:val="0"/>
                <w:sz w:val="21"/>
                <w:szCs w:val="21"/>
              </w:rPr>
            </w:pPr>
          </w:p>
        </w:tc>
        <w:tc>
          <w:tcPr>
            <w:tcW w:w="1134" w:type="dxa"/>
            <w:vMerge w:val="continue"/>
            <w:tcBorders>
              <w:left w:val="nil"/>
              <w:bottom w:val="single" w:color="auto" w:sz="4" w:space="0"/>
              <w:right w:val="single" w:color="auto" w:sz="4" w:space="0"/>
            </w:tcBorders>
            <w:noWrap/>
            <w:vAlign w:val="center"/>
          </w:tcPr>
          <w:p>
            <w:pPr>
              <w:spacing w:line="260" w:lineRule="exact"/>
              <w:rPr>
                <w:rFonts w:hint="eastAsia" w:ascii="Times New Roman" w:hAnsi="Times New Roman" w:eastAsia="方正仿宋_GBK" w:cs="Times New Roman"/>
                <w:snapToGrid w:val="0"/>
                <w:sz w:val="21"/>
                <w:szCs w:val="21"/>
              </w:rPr>
            </w:pPr>
          </w:p>
        </w:tc>
        <w:tc>
          <w:tcPr>
            <w:tcW w:w="6237" w:type="dxa"/>
            <w:vMerge w:val="continue"/>
            <w:tcBorders>
              <w:left w:val="nil"/>
              <w:bottom w:val="single" w:color="auto" w:sz="4" w:space="0"/>
              <w:right w:val="single" w:color="auto" w:sz="4" w:space="0"/>
            </w:tcBorders>
            <w:noWrap/>
            <w:vAlign w:val="center"/>
          </w:tcPr>
          <w:p>
            <w:pPr>
              <w:spacing w:line="260" w:lineRule="exact"/>
              <w:jc w:val="both"/>
              <w:rPr>
                <w:rFonts w:hint="eastAsia" w:ascii="方正仿宋_GBK" w:eastAsia="方正仿宋_GBK" w:cs="Times New Roman"/>
                <w:kern w:val="0"/>
                <w:sz w:val="21"/>
                <w:szCs w:val="21"/>
              </w:rPr>
            </w:pPr>
          </w:p>
        </w:tc>
        <w:tc>
          <w:tcPr>
            <w:tcW w:w="1417" w:type="dxa"/>
            <w:vMerge w:val="continue"/>
            <w:tcBorders>
              <w:left w:val="nil"/>
              <w:bottom w:val="single" w:color="auto" w:sz="4" w:space="0"/>
              <w:right w:val="single" w:color="auto" w:sz="4" w:space="0"/>
            </w:tcBorders>
            <w:noWrap/>
            <w:vAlign w:val="center"/>
          </w:tcPr>
          <w:p>
            <w:pPr>
              <w:spacing w:line="260" w:lineRule="exact"/>
              <w:rPr>
                <w:rFonts w:hint="eastAsia" w:ascii="方正仿宋_GBK" w:eastAsia="方正仿宋_GBK" w:cs="Times New Roman"/>
                <w:kern w:val="0"/>
                <w:sz w:val="21"/>
                <w:szCs w:val="21"/>
              </w:rPr>
            </w:pPr>
          </w:p>
        </w:tc>
        <w:tc>
          <w:tcPr>
            <w:tcW w:w="1276" w:type="dxa"/>
            <w:vMerge w:val="continue"/>
            <w:tcBorders>
              <w:left w:val="nil"/>
              <w:bottom w:val="single" w:color="auto" w:sz="4" w:space="0"/>
              <w:right w:val="single" w:color="auto" w:sz="4" w:space="0"/>
            </w:tcBorders>
            <w:noWrap/>
            <w:vAlign w:val="center"/>
          </w:tcPr>
          <w:p>
            <w:pPr>
              <w:spacing w:line="260" w:lineRule="exact"/>
              <w:rPr>
                <w:rFonts w:hint="eastAsia" w:ascii="方正仿宋_GBK" w:eastAsia="方正仿宋_GBK" w:cs="Times New Roman"/>
                <w:kern w:val="0"/>
                <w:sz w:val="21"/>
                <w:szCs w:val="21"/>
              </w:rPr>
            </w:pPr>
          </w:p>
        </w:tc>
        <w:tc>
          <w:tcPr>
            <w:tcW w:w="3844" w:type="dxa"/>
            <w:tcBorders>
              <w:top w:val="single" w:color="auto" w:sz="4" w:space="0"/>
              <w:left w:val="nil"/>
              <w:bottom w:val="single" w:color="auto" w:sz="4" w:space="0"/>
              <w:right w:val="single" w:color="auto" w:sz="4" w:space="0"/>
            </w:tcBorders>
            <w:noWrap/>
            <w:vAlign w:val="center"/>
          </w:tcPr>
          <w:p>
            <w:pPr>
              <w:spacing w:line="260" w:lineRule="exact"/>
              <w:jc w:val="lef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生活垃圾经营性处置企业：</w:t>
            </w:r>
          </w:p>
          <w:p>
            <w:pPr>
              <w:spacing w:line="260" w:lineRule="exact"/>
              <w:jc w:val="left"/>
              <w:rPr>
                <w:rFonts w:ascii="方正仿宋_GBK" w:eastAsia="方正仿宋_GBK" w:cs="Times New Roman"/>
                <w:kern w:val="0"/>
                <w:sz w:val="21"/>
                <w:szCs w:val="21"/>
              </w:rPr>
            </w:pPr>
            <w:r>
              <w:rPr>
                <w:rFonts w:hint="eastAsia" w:ascii="方正仿宋_GBK" w:eastAsia="方正仿宋_GBK" w:cs="Times New Roman"/>
                <w:kern w:val="0"/>
                <w:sz w:val="21"/>
                <w:szCs w:val="21"/>
              </w:rPr>
              <w:t>1.生活垃圾处置设施工程必须经验收合格后才可投入使用。</w:t>
            </w:r>
          </w:p>
          <w:p>
            <w:pPr>
              <w:spacing w:line="260" w:lineRule="exact"/>
              <w:jc w:val="left"/>
              <w:rPr>
                <w:rFonts w:ascii="方正仿宋_GBK" w:eastAsia="方正仿宋_GBK" w:cs="Times New Roman"/>
                <w:kern w:val="0"/>
                <w:sz w:val="21"/>
                <w:szCs w:val="21"/>
              </w:rPr>
            </w:pPr>
            <w:r>
              <w:rPr>
                <w:rFonts w:hint="eastAsia" w:ascii="方正仿宋_GBK" w:eastAsia="方正仿宋_GBK" w:cs="Times New Roman"/>
                <w:kern w:val="0"/>
                <w:sz w:val="21"/>
                <w:szCs w:val="21"/>
              </w:rPr>
              <w:t>2.取得行政许可后方可从事经营性生活垃圾处置业务。</w:t>
            </w:r>
          </w:p>
          <w:p>
            <w:pPr>
              <w:spacing w:line="260" w:lineRule="exact"/>
              <w:jc w:val="left"/>
              <w:rPr>
                <w:rFonts w:ascii="方正仿宋_GBK" w:eastAsia="方正仿宋_GBK" w:cs="Times New Roman"/>
                <w:kern w:val="0"/>
                <w:sz w:val="21"/>
                <w:szCs w:val="21"/>
              </w:rPr>
            </w:pPr>
            <w:r>
              <w:rPr>
                <w:rFonts w:hint="eastAsia" w:ascii="方正仿宋_GBK" w:eastAsia="方正仿宋_GBK" w:cs="Times New Roman"/>
                <w:kern w:val="0"/>
                <w:sz w:val="21"/>
                <w:szCs w:val="21"/>
              </w:rPr>
              <w:t>3.应当严格按照国家有关规定和技术标准处置生活垃圾。</w:t>
            </w:r>
          </w:p>
          <w:p>
            <w:pPr>
              <w:spacing w:line="260" w:lineRule="exact"/>
              <w:jc w:val="left"/>
              <w:rPr>
                <w:rFonts w:hint="eastAsia" w:ascii="方正仿宋_GBK" w:eastAsia="方正仿宋_GBK" w:cs="Times New Roman"/>
                <w:kern w:val="0"/>
                <w:sz w:val="21"/>
                <w:szCs w:val="21"/>
              </w:rPr>
            </w:pPr>
            <w:r>
              <w:rPr>
                <w:rFonts w:hint="eastAsia" w:ascii="方正仿宋_GBK" w:eastAsia="方正仿宋_GBK" w:cs="Times New Roman"/>
                <w:kern w:val="0"/>
                <w:sz w:val="21"/>
                <w:szCs w:val="21"/>
              </w:rPr>
              <w:t>4.需要停业歇业的，应当提前半年向所在地市容环卫主管部门报告并经同意后方可停业歇业。</w:t>
            </w:r>
          </w:p>
        </w:tc>
      </w:tr>
    </w:tbl>
    <w:p/>
    <w:sectPr>
      <w:footerReference r:id="rId3" w:type="default"/>
      <w:pgSz w:w="16838" w:h="11906" w:orient="landscape"/>
      <w:pgMar w:top="1800" w:right="1553"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Times New Roman" w:hAnsi="Times New Roman" w:eastAsia="宋体" w:cs="Times New Roman"/>
        <w:sz w:val="28"/>
        <w:szCs w:val="28"/>
        <w:lang w:val="en-US" w:eastAsia="zh-CN"/>
      </w:rPr>
    </w:pPr>
    <w:r>
      <w:rPr>
        <w:rFonts w:hint="default" w:eastAsia="宋体" w:cs="Times New Roman"/>
        <w:sz w:val="28"/>
        <w:lang w:val="en-US"/>
      </w:rPr>
      <mc:AlternateContent>
        <mc:Choice Requires="wps">
          <w:drawing>
            <wp:anchor distT="0" distB="0" distL="114300" distR="114300" simplePos="0" relativeHeight="251659264" behindDoc="0" locked="0" layoutInCell="1" allowOverlap="1">
              <wp:simplePos x="0" y="0"/>
              <wp:positionH relativeFrom="margin">
                <wp:posOffset>2705100</wp:posOffset>
              </wp:positionH>
              <wp:positionV relativeFrom="paragraph">
                <wp:posOffset>-147320</wp:posOffset>
              </wp:positionV>
              <wp:extent cx="13144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1445" cy="287020"/>
                      </a:xfrm>
                      <a:prstGeom prst="rect">
                        <a:avLst/>
                      </a:prstGeom>
                      <a:noFill/>
                      <a:ln>
                        <a:noFill/>
                      </a:ln>
                    </wps:spPr>
                    <wps:txbx>
                      <w:txbxContent>
                        <w:p>
                          <w:pPr>
                            <w:pStyle w:val="3"/>
                            <w:jc w:val="center"/>
                            <w:rPr>
                              <w:rFonts w:hint="default" w:ascii="Times New Roman" w:hAnsi="Times New Roman" w:eastAsia="方正仿宋_GBK" w:cs="Times New Roman"/>
                              <w:sz w:val="28"/>
                              <w:szCs w:val="28"/>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13pt;margin-top:-11.6pt;height:22.6pt;width:10.35pt;mso-position-horizontal-relative:margin;z-index:251659264;mso-width-relative:page;mso-height-relative:page;" filled="f" stroked="f" coordsize="21600,21600" o:gfxdata="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efRK2QAAAAoBAAAPAAAAAAAAAAEAIAAAACIAAABkcnMvZG93bnJldi54bWxQSwEC&#10;FAAUAAAACACHTuJANQHvx7oBAABxAwAADgAAAAAAAAABACAAAAAoAQAAZHJzL2Uyb0RvYy54bWxQ&#10;SwUGAAAAAAYABgBZAQAAVAUAAAAA&#10;">
              <v:fill on="f" focussize="0,0"/>
              <v:stroke on="f"/>
              <v:imagedata o:title=""/>
              <o:lock v:ext="edit" aspectratio="f"/>
              <v:textbox inset="0mm,0mm,0mm,0mm">
                <w:txbxContent>
                  <w:p>
                    <w:pPr>
                      <w:pStyle w:val="3"/>
                      <w:jc w:val="center"/>
                      <w:rPr>
                        <w:rFonts w:hint="default" w:ascii="Times New Roman" w:hAnsi="Times New Roman" w:eastAsia="方正仿宋_GBK" w:cs="Times New Roman"/>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zk4MTE4YThkNGUwZDdmZWQwNjE1MTBiZjYxNDAifQ=="/>
  </w:docVars>
  <w:rsids>
    <w:rsidRoot w:val="596A2DDF"/>
    <w:rsid w:val="292D7822"/>
    <w:rsid w:val="3E665808"/>
    <w:rsid w:val="596A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autoRedefine/>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2024-05-06T09:23:00Z</dcterms:created>
  <dc:creator>63026</dc:creator>
  <cp:lastModifiedBy>Administrator</cp:lastModifiedBy>
  <cp:lastPrinted>2024-05-07T01:58:27Z</cp:lastPrinted>
  <dcterms:modified xsi:type="dcterms:W3CDTF">2024-05-07T02:04:23Z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FAF87AFA25BD48779415A3123259A608_11</vt:lpwstr>
  </property>
</Properties>
</file>